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6E221C" w:rsidRDefault="001D31F0" w:rsidP="00026CA3">
      <w:pPr>
        <w:ind w:left="4962" w:hanging="709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7C2A6B">
        <w:rPr>
          <w:rFonts w:asciiTheme="minorHAnsi" w:hAnsiTheme="minorHAnsi" w:cs="Arial"/>
          <w:b/>
        </w:rPr>
        <w:t xml:space="preserve"> 731/2019</w:t>
      </w:r>
      <w:r w:rsidR="00D32E46">
        <w:rPr>
          <w:rFonts w:asciiTheme="minorHAnsi" w:hAnsiTheme="minorHAnsi" w:cs="Arial"/>
          <w:b/>
        </w:rPr>
        <w:t xml:space="preserve"> </w:t>
      </w:r>
    </w:p>
    <w:p w:rsidR="004F799D" w:rsidRDefault="004F799D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7C2A6B">
        <w:rPr>
          <w:rFonts w:asciiTheme="minorHAnsi" w:hAnsiTheme="minorHAnsi" w:cs="Arial"/>
          <w:b/>
          <w:sz w:val="22"/>
          <w:szCs w:val="22"/>
        </w:rPr>
        <w:t>773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7C2A6B">
        <w:rPr>
          <w:rFonts w:asciiTheme="minorHAnsi" w:hAnsiTheme="minorHAnsi" w:cs="Arial"/>
          <w:sz w:val="22"/>
          <w:szCs w:val="22"/>
        </w:rPr>
        <w:t>17/08/2019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026CA3" w:rsidRPr="004F799D" w:rsidRDefault="001D31F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026CA3" w:rsidRPr="004F799D">
        <w:rPr>
          <w:rFonts w:asciiTheme="minorHAnsi" w:hAnsiTheme="minorHAnsi" w:cs="Arial"/>
          <w:sz w:val="22"/>
          <w:szCs w:val="22"/>
        </w:rPr>
        <w:t>D</w:t>
      </w:r>
      <w:r w:rsidR="004F799D" w:rsidRPr="004F799D">
        <w:rPr>
          <w:rFonts w:asciiTheme="minorHAnsi" w:hAnsiTheme="minorHAnsi" w:cs="Arial"/>
          <w:sz w:val="22"/>
          <w:szCs w:val="22"/>
        </w:rPr>
        <w:t>eniega entrega d</w:t>
      </w:r>
      <w:r w:rsidR="00883A78">
        <w:rPr>
          <w:rFonts w:asciiTheme="minorHAnsi" w:hAnsiTheme="minorHAnsi" w:cs="Arial"/>
          <w:sz w:val="22"/>
          <w:szCs w:val="22"/>
        </w:rPr>
        <w:t>e información solicitada por don</w:t>
      </w:r>
      <w:r w:rsidR="004F799D" w:rsidRPr="004F799D">
        <w:rPr>
          <w:rFonts w:asciiTheme="minorHAnsi" w:hAnsiTheme="minorHAnsi" w:cs="Arial"/>
          <w:sz w:val="22"/>
          <w:szCs w:val="22"/>
        </w:rPr>
        <w:t xml:space="preserve"> </w:t>
      </w:r>
      <w:r w:rsidR="007C2A6B">
        <w:rPr>
          <w:rFonts w:asciiTheme="minorHAnsi" w:hAnsiTheme="minorHAnsi" w:cs="Arial"/>
          <w:sz w:val="22"/>
          <w:szCs w:val="22"/>
        </w:rPr>
        <w:t>Danilo López Padilla</w:t>
      </w:r>
      <w:r w:rsidR="004F799D" w:rsidRPr="004F799D">
        <w:rPr>
          <w:rFonts w:asciiTheme="minorHAnsi" w:hAnsiTheme="minorHAnsi" w:cs="Arial"/>
          <w:sz w:val="22"/>
          <w:szCs w:val="22"/>
        </w:rPr>
        <w:t>, por concurrir causal de secreto o reserva del Artículo 21 Nº 1 letra C de la Ley de Transparencia</w:t>
      </w:r>
      <w:r w:rsidR="00026CA3" w:rsidRPr="004F799D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7C2A6B">
        <w:rPr>
          <w:rFonts w:asciiTheme="minorHAnsi" w:hAnsiTheme="minorHAnsi" w:cs="Arial"/>
          <w:b/>
          <w:sz w:val="22"/>
          <w:szCs w:val="22"/>
        </w:rPr>
        <w:t>2</w:t>
      </w:r>
      <w:r w:rsidR="00883A78">
        <w:rPr>
          <w:rFonts w:asciiTheme="minorHAnsi" w:hAnsiTheme="minorHAnsi" w:cs="Arial"/>
          <w:b/>
          <w:sz w:val="22"/>
          <w:szCs w:val="22"/>
        </w:rPr>
        <w:t xml:space="preserve">8 de </w:t>
      </w:r>
      <w:r w:rsidR="007C2A6B">
        <w:rPr>
          <w:rFonts w:asciiTheme="minorHAnsi" w:hAnsiTheme="minorHAnsi" w:cs="Arial"/>
          <w:b/>
          <w:sz w:val="22"/>
          <w:szCs w:val="22"/>
        </w:rPr>
        <w:t>agosto 2019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4F799D">
        <w:rPr>
          <w:rFonts w:asciiTheme="minorHAnsi" w:hAnsiTheme="minorHAnsi" w:cs="Arial"/>
          <w:sz w:val="22"/>
          <w:szCs w:val="22"/>
        </w:rPr>
        <w:t>E</w:t>
      </w:r>
      <w:r w:rsidR="004F799D" w:rsidRPr="00BC524E">
        <w:rPr>
          <w:rFonts w:asciiTheme="minorHAnsi" w:hAnsiTheme="minorHAnsi" w:cs="Arial"/>
          <w:sz w:val="22"/>
          <w:szCs w:val="22"/>
        </w:rPr>
        <w:t>l</w:t>
      </w:r>
      <w:r w:rsidR="004F799D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5553 de 24 de noviembre de 2015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53973" w:rsidRDefault="00453973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7C2A6B" w:rsidRPr="007C2A6B" w:rsidRDefault="00511DDC" w:rsidP="007C2A6B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7C2A6B">
        <w:rPr>
          <w:rFonts w:asciiTheme="minorHAnsi" w:hAnsiTheme="minorHAnsi" w:cs="Arial"/>
          <w:sz w:val="22"/>
          <w:szCs w:val="22"/>
        </w:rPr>
        <w:t>17/08</w:t>
      </w:r>
      <w:r w:rsidR="00883A78">
        <w:rPr>
          <w:rFonts w:asciiTheme="minorHAnsi" w:hAnsiTheme="minorHAnsi" w:cs="Arial"/>
          <w:sz w:val="22"/>
          <w:szCs w:val="22"/>
        </w:rPr>
        <w:t>/201</w:t>
      </w:r>
      <w:r w:rsidR="007C2A6B">
        <w:rPr>
          <w:rFonts w:asciiTheme="minorHAnsi" w:hAnsiTheme="minorHAnsi" w:cs="Arial"/>
          <w:sz w:val="22"/>
          <w:szCs w:val="22"/>
        </w:rPr>
        <w:t>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>
        <w:rPr>
          <w:rFonts w:asciiTheme="minorHAnsi" w:hAnsiTheme="minorHAnsi" w:cs="Arial"/>
          <w:sz w:val="22"/>
          <w:szCs w:val="22"/>
        </w:rPr>
        <w:t>MU030T</w:t>
      </w:r>
      <w:r w:rsidR="0085480E" w:rsidRPr="00930D39">
        <w:rPr>
          <w:rFonts w:asciiTheme="minorHAnsi" w:hAnsiTheme="minorHAnsi" w:cs="Arial"/>
          <w:sz w:val="22"/>
          <w:szCs w:val="22"/>
        </w:rPr>
        <w:t>0000</w:t>
      </w:r>
      <w:r w:rsidR="007C2A6B">
        <w:rPr>
          <w:rFonts w:asciiTheme="minorHAnsi" w:hAnsiTheme="minorHAnsi" w:cs="Arial"/>
          <w:sz w:val="22"/>
          <w:szCs w:val="22"/>
        </w:rPr>
        <w:t>773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  <w:r w:rsidR="00883A78" w:rsidRPr="007C2A6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7C2A6B"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Estimados</w:t>
      </w:r>
      <w:r w:rsid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7C2A6B"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Agradeceré detallar los pagos de los últimos doce meses (12 meses) que realiza</w:t>
      </w:r>
      <w:r w:rsid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7C2A6B"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la comuna a la empresa de distribución eléctrica respectiva. Solicito detallar con</w:t>
      </w:r>
      <w:r w:rsid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7C2A6B"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respecto a alumbrado público u otro relacionado a dependencias municipales o</w:t>
      </w:r>
    </w:p>
    <w:p w:rsidR="007C2A6B" w:rsidRPr="007C2A6B" w:rsidRDefault="007C2A6B" w:rsidP="007C2A6B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 corporaciones municipales, indicando:</w:t>
      </w:r>
    </w:p>
    <w:p w:rsidR="007C2A6B" w:rsidRPr="007C2A6B" w:rsidRDefault="007C2A6B" w:rsidP="007C2A6B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Tarifa</w:t>
      </w:r>
    </w:p>
    <w:p w:rsidR="007C2A6B" w:rsidRPr="007C2A6B" w:rsidRDefault="007C2A6B" w:rsidP="007C2A6B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Consumo</w:t>
      </w:r>
    </w:p>
    <w:p w:rsidR="007C2A6B" w:rsidRPr="007C2A6B" w:rsidRDefault="007C2A6B" w:rsidP="007C2A6B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Potencia o demanda</w:t>
      </w:r>
    </w:p>
    <w:p w:rsidR="007C2A6B" w:rsidRPr="007C2A6B" w:rsidRDefault="007C2A6B" w:rsidP="007C2A6B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Además, les solicito enviar o indicar en qué dirección web está alojado el contrato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actual de mantenimiento del servicio de alumbrado publico de la comuna. Favor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no olvidar anexos del contrato si existiesen.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Por favor les solicito que dicha información sea enviada vía correo electrónico</w:t>
      </w:r>
    </w:p>
    <w:p w:rsidR="00883A78" w:rsidRPr="007C2A6B" w:rsidRDefault="007C2A6B" w:rsidP="007C2A6B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como Libro de Excel 97-2003 (*.xls)</w:t>
      </w:r>
      <w:r w:rsidR="00883A78"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4A779D" w:rsidRDefault="004A779D" w:rsidP="00883A7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566808" w:rsidRPr="004A779D" w:rsidRDefault="00A11363" w:rsidP="004A779D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4A779D">
        <w:rPr>
          <w:rFonts w:asciiTheme="minorHAnsi" w:hAnsiTheme="minorHAnsi" w:cs="Arial"/>
          <w:sz w:val="22"/>
          <w:szCs w:val="22"/>
        </w:rPr>
        <w:t>2</w:t>
      </w:r>
      <w:r w:rsidR="00511DDC" w:rsidRPr="004A779D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4A779D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  <w:r w:rsidR="00566808" w:rsidRPr="00511DDC">
        <w:rPr>
          <w:rFonts w:asciiTheme="minorHAnsi" w:hAnsiTheme="minorHAnsi" w:cs="Arial"/>
          <w:sz w:val="22"/>
          <w:szCs w:val="22"/>
        </w:rPr>
        <w:lastRenderedPageBreak/>
        <w:t xml:space="preserve">Administración, cualquiera sea su formato, soporte, fecha de creación, origen, clasificación o procesamiento, a menos que esté sujeta a las excepciones señaladas en la Ley de Transparencia. </w:t>
      </w:r>
    </w:p>
    <w:p w:rsidR="004A779D" w:rsidRDefault="004A779D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órgano requerido, particularmente…. C) tratándose de requ</w:t>
      </w:r>
      <w:r w:rsidR="00453973"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>, referidos a un elevado número de actos administrativos o sus antecedentes o cuya atención requiera distraer indebidamente a los funcionarios del cumplimiento regular de sus labores habituales”</w:t>
      </w:r>
    </w:p>
    <w:p w:rsidR="00026CA3" w:rsidRDefault="00026CA3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7C2A6B" w:rsidRPr="007C2A6B" w:rsidRDefault="004A779D" w:rsidP="007C2A6B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883A78">
        <w:rPr>
          <w:rFonts w:asciiTheme="minorHAnsi" w:hAnsiTheme="minorHAnsi" w:cs="Arial"/>
          <w:b/>
          <w:sz w:val="22"/>
          <w:szCs w:val="22"/>
        </w:rPr>
        <w:t xml:space="preserve">DENIÉGASE </w:t>
      </w:r>
      <w:r w:rsidRPr="00883A78">
        <w:rPr>
          <w:rFonts w:asciiTheme="minorHAnsi" w:hAnsiTheme="minorHAnsi" w:cs="Arial"/>
          <w:sz w:val="22"/>
          <w:szCs w:val="22"/>
        </w:rPr>
        <w:t>la entrega de información relativa a</w:t>
      </w:r>
      <w:r w:rsidR="005E110A" w:rsidRPr="00883A78">
        <w:rPr>
          <w:rFonts w:asciiTheme="minorHAnsi" w:hAnsiTheme="minorHAnsi" w:cs="Arial"/>
          <w:sz w:val="22"/>
          <w:szCs w:val="22"/>
        </w:rPr>
        <w:t xml:space="preserve"> </w:t>
      </w:r>
      <w:r w:rsidR="007C2A6B" w:rsidRPr="007C2A6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7C2A6B"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Estimados</w:t>
      </w:r>
      <w:r w:rsid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7C2A6B"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Agradeceré detallar los pagos de los últimos doce meses (12 meses) que realiza</w:t>
      </w:r>
      <w:r w:rsid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7C2A6B"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la comuna a la empresa de distribución eléctrica respectiva. Solicito detallar con</w:t>
      </w:r>
      <w:r w:rsid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7C2A6B"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respecto a alumbrado público u otro relacionado a dependencias municipales o</w:t>
      </w:r>
      <w:r w:rsid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7C2A6B"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 corporaciones municipales, indicando:</w:t>
      </w:r>
      <w:r w:rsid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7C2A6B"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Tarifa</w:t>
      </w:r>
      <w:r w:rsid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–</w:t>
      </w:r>
      <w:r w:rsidR="007C2A6B"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Consumo</w:t>
      </w:r>
      <w:r w:rsid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7C2A6B"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Potencia o demanda</w:t>
      </w:r>
    </w:p>
    <w:p w:rsidR="007C2A6B" w:rsidRPr="007C2A6B" w:rsidRDefault="007C2A6B" w:rsidP="007C2A6B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Además, les solicito enviar o indicar en qué dirección web está alojado el contrato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actual de mantenimiento del servicio de alumbrado publico de la comuna. Favor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no olvidar anexos del contrato si existiesen.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Por favor les solicito que dicha información sea enviada vía correo electrónico</w:t>
      </w:r>
    </w:p>
    <w:p w:rsidR="005E110A" w:rsidRPr="007C2A6B" w:rsidRDefault="007C2A6B" w:rsidP="007C2A6B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como Libro de Excel 97-2003 (*.xls)”</w:t>
      </w:r>
      <w:r w:rsidR="004A779D" w:rsidRPr="007C2A6B">
        <w:rPr>
          <w:rFonts w:asciiTheme="minorHAnsi" w:hAnsiTheme="minorHAnsi" w:cs="Arial"/>
          <w:sz w:val="22"/>
          <w:szCs w:val="22"/>
        </w:rPr>
        <w:t xml:space="preserve">, requerida por </w:t>
      </w:r>
      <w:r>
        <w:rPr>
          <w:rFonts w:asciiTheme="minorHAnsi" w:hAnsiTheme="minorHAnsi" w:cs="Arial"/>
          <w:sz w:val="22"/>
          <w:szCs w:val="22"/>
        </w:rPr>
        <w:t>don Danilo López Padilla</w:t>
      </w:r>
      <w:r w:rsidR="004A779D" w:rsidRPr="007C2A6B">
        <w:rPr>
          <w:rFonts w:asciiTheme="minorHAnsi" w:hAnsiTheme="minorHAnsi" w:cs="Arial"/>
          <w:sz w:val="22"/>
          <w:szCs w:val="22"/>
        </w:rPr>
        <w:t>, a través de la solicitud de acceso a la información Nº</w:t>
      </w:r>
      <w:r w:rsidR="005E110A" w:rsidRPr="007C2A6B">
        <w:rPr>
          <w:rFonts w:asciiTheme="minorHAnsi" w:hAnsiTheme="minorHAnsi" w:cs="Arial"/>
          <w:sz w:val="22"/>
          <w:szCs w:val="22"/>
        </w:rPr>
        <w:t xml:space="preserve"> MU030T0000</w:t>
      </w:r>
      <w:r>
        <w:rPr>
          <w:rFonts w:asciiTheme="minorHAnsi" w:hAnsiTheme="minorHAnsi" w:cs="Arial"/>
          <w:sz w:val="22"/>
          <w:szCs w:val="22"/>
        </w:rPr>
        <w:t>773</w:t>
      </w:r>
      <w:r w:rsidR="004A779D" w:rsidRPr="007C2A6B">
        <w:rPr>
          <w:rFonts w:asciiTheme="minorHAnsi" w:hAnsiTheme="minorHAnsi" w:cs="Arial"/>
          <w:sz w:val="22"/>
          <w:szCs w:val="22"/>
        </w:rPr>
        <w:t xml:space="preserve"> de</w:t>
      </w:r>
      <w:r>
        <w:rPr>
          <w:rFonts w:asciiTheme="minorHAnsi" w:hAnsiTheme="minorHAnsi" w:cs="Arial"/>
          <w:sz w:val="22"/>
          <w:szCs w:val="22"/>
        </w:rPr>
        <w:t xml:space="preserve"> fecha 17/08/2019</w:t>
      </w:r>
      <w:r w:rsidR="004A779D" w:rsidRPr="007C2A6B">
        <w:rPr>
          <w:rFonts w:asciiTheme="minorHAnsi" w:hAnsiTheme="minorHAnsi" w:cs="Arial"/>
          <w:sz w:val="22"/>
          <w:szCs w:val="22"/>
        </w:rPr>
        <w:t xml:space="preserve"> , por concurrir a su respecto la causal del artículo 21 N°</w:t>
      </w:r>
      <w:r w:rsidR="005E110A" w:rsidRPr="007C2A6B">
        <w:rPr>
          <w:rFonts w:asciiTheme="minorHAnsi" w:hAnsiTheme="minorHAnsi" w:cs="Arial"/>
          <w:sz w:val="22"/>
          <w:szCs w:val="22"/>
        </w:rPr>
        <w:t xml:space="preserve"> 1, letra C</w:t>
      </w:r>
      <w:r>
        <w:rPr>
          <w:rFonts w:asciiTheme="minorHAnsi" w:hAnsiTheme="minorHAnsi" w:cs="Arial"/>
          <w:sz w:val="22"/>
          <w:szCs w:val="22"/>
        </w:rPr>
        <w:t>, de acuerdo a lo estipulado por la Dirección de Medio Ambiente, Aseo y Ornato en su Memorando Nº 440/2019.</w:t>
      </w:r>
    </w:p>
    <w:p w:rsidR="005E110A" w:rsidRPr="005E110A" w:rsidRDefault="005E110A" w:rsidP="00883A78">
      <w:pPr>
        <w:pStyle w:val="Prrafodelista"/>
        <w:tabs>
          <w:tab w:val="left" w:pos="567"/>
          <w:tab w:val="left" w:pos="1985"/>
          <w:tab w:val="left" w:pos="4536"/>
        </w:tabs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E110A" w:rsidRDefault="00566808" w:rsidP="00883A78">
      <w:pPr>
        <w:pStyle w:val="Prrafodelista"/>
        <w:numPr>
          <w:ilvl w:val="0"/>
          <w:numId w:val="2"/>
        </w:numPr>
        <w:tabs>
          <w:tab w:val="left" w:pos="567"/>
          <w:tab w:val="left" w:pos="1985"/>
          <w:tab w:val="left" w:pos="4536"/>
        </w:tabs>
        <w:spacing w:line="360" w:lineRule="atLeast"/>
        <w:jc w:val="both"/>
        <w:rPr>
          <w:rFonts w:asciiTheme="minorHAnsi" w:hAnsiTheme="minorHAnsi" w:cs="Arial"/>
          <w:sz w:val="22"/>
          <w:szCs w:val="22"/>
        </w:rPr>
      </w:pPr>
      <w:r w:rsidRPr="005E110A">
        <w:rPr>
          <w:rFonts w:asciiTheme="minorHAnsi" w:hAnsiTheme="minorHAnsi" w:cs="Arial"/>
          <w:b/>
          <w:sz w:val="22"/>
          <w:szCs w:val="22"/>
        </w:rPr>
        <w:t>NOTÍFIQUESE</w:t>
      </w:r>
      <w:r w:rsidRPr="005E110A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 w:rsidRPr="005E110A">
        <w:rPr>
          <w:rFonts w:asciiTheme="minorHAnsi" w:hAnsiTheme="minorHAnsi" w:cs="Arial"/>
          <w:sz w:val="22"/>
          <w:szCs w:val="22"/>
        </w:rPr>
        <w:t xml:space="preserve"> </w:t>
      </w:r>
      <w:r w:rsidR="00883A78">
        <w:rPr>
          <w:rFonts w:asciiTheme="minorHAnsi" w:hAnsiTheme="minorHAnsi" w:cs="Arial"/>
          <w:sz w:val="22"/>
          <w:szCs w:val="22"/>
        </w:rPr>
        <w:t xml:space="preserve">don </w:t>
      </w:r>
      <w:r w:rsidR="007C2A6B">
        <w:rPr>
          <w:rFonts w:asciiTheme="minorHAnsi" w:hAnsiTheme="minorHAnsi" w:cs="Arial"/>
          <w:sz w:val="22"/>
          <w:szCs w:val="22"/>
        </w:rPr>
        <w:t>Danilo López Padilla</w:t>
      </w:r>
      <w:r w:rsidRPr="005E110A">
        <w:rPr>
          <w:rFonts w:asciiTheme="minorHAnsi" w:hAnsiTheme="minorHAnsi" w:cs="Arial"/>
          <w:sz w:val="22"/>
          <w:szCs w:val="22"/>
        </w:rPr>
        <w:t xml:space="preserve">, </w:t>
      </w:r>
      <w:r w:rsidR="0085480E" w:rsidRPr="005E110A">
        <w:rPr>
          <w:rFonts w:asciiTheme="minorHAnsi" w:hAnsiTheme="minorHAnsi" w:cs="Arial"/>
          <w:sz w:val="22"/>
          <w:szCs w:val="22"/>
        </w:rPr>
        <w:t>a través del Portal de Transparencia.</w:t>
      </w:r>
      <w:r w:rsidRPr="005E110A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17459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7C2A6B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18"/>
          <w:szCs w:val="18"/>
        </w:rPr>
      </w:pPr>
    </w:p>
    <w:p w:rsidR="00EE0C0B" w:rsidRPr="007C2A6B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7C2A6B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7C2A6B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7C2A6B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7C2A6B">
        <w:rPr>
          <w:rFonts w:asciiTheme="minorHAnsi" w:hAnsiTheme="minorHAnsi" w:cs="Arial"/>
          <w:bCs/>
          <w:sz w:val="18"/>
          <w:szCs w:val="18"/>
        </w:rPr>
        <w:t>1.-</w:t>
      </w:r>
      <w:r w:rsidRPr="007C2A6B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875623" w:rsidRPr="007C2A6B">
        <w:rPr>
          <w:rFonts w:asciiTheme="minorHAnsi" w:hAnsiTheme="minorHAnsi" w:cs="Arial"/>
          <w:sz w:val="18"/>
          <w:szCs w:val="18"/>
          <w:lang w:val="es-CL"/>
        </w:rPr>
        <w:t>Sr.</w:t>
      </w:r>
      <w:r w:rsidR="00875623" w:rsidRPr="007C2A6B">
        <w:rPr>
          <w:rFonts w:asciiTheme="minorHAnsi" w:hAnsiTheme="minorHAnsi" w:cs="Arial"/>
          <w:sz w:val="18"/>
          <w:szCs w:val="18"/>
        </w:rPr>
        <w:t xml:space="preserve"> </w:t>
      </w:r>
      <w:r w:rsidR="007C2A6B" w:rsidRPr="007C2A6B">
        <w:rPr>
          <w:rFonts w:asciiTheme="minorHAnsi" w:hAnsiTheme="minorHAnsi" w:cs="Arial"/>
          <w:sz w:val="18"/>
          <w:szCs w:val="18"/>
        </w:rPr>
        <w:t>Danilo López Padilla</w:t>
      </w:r>
      <w:r w:rsidR="0004206D" w:rsidRPr="007C2A6B">
        <w:rPr>
          <w:rFonts w:asciiTheme="minorHAnsi" w:hAnsiTheme="minorHAnsi" w:cs="Arial"/>
          <w:sz w:val="18"/>
          <w:szCs w:val="18"/>
        </w:rPr>
        <w:t>.</w:t>
      </w:r>
    </w:p>
    <w:p w:rsidR="00566808" w:rsidRPr="007C2A6B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7C2A6B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7C2A6B">
        <w:rPr>
          <w:rFonts w:asciiTheme="minorHAnsi" w:hAnsiTheme="minorHAnsi" w:cs="Arial"/>
          <w:sz w:val="18"/>
          <w:szCs w:val="18"/>
        </w:rPr>
        <w:t>Archivo</w:t>
      </w:r>
      <w:r w:rsidR="00562C46" w:rsidRPr="007C2A6B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7C2A6B">
        <w:rPr>
          <w:rFonts w:asciiTheme="minorHAnsi" w:hAnsiTheme="minorHAnsi" w:cs="Arial"/>
          <w:sz w:val="18"/>
          <w:szCs w:val="18"/>
        </w:rPr>
        <w:t>.</w:t>
      </w:r>
    </w:p>
    <w:p w:rsidR="00153A24" w:rsidRDefault="00974FD6">
      <w:pPr>
        <w:rPr>
          <w:rFonts w:asciiTheme="minorHAnsi" w:hAnsiTheme="minorHAnsi"/>
          <w:sz w:val="18"/>
          <w:szCs w:val="18"/>
        </w:rPr>
      </w:pPr>
      <w:r w:rsidRPr="007C2A6B">
        <w:rPr>
          <w:rFonts w:asciiTheme="minorHAnsi" w:hAnsiTheme="minorHAnsi"/>
          <w:sz w:val="18"/>
          <w:szCs w:val="18"/>
        </w:rPr>
        <w:t>RMR</w:t>
      </w:r>
      <w:r w:rsidR="00562C46" w:rsidRPr="007C2A6B">
        <w:rPr>
          <w:rFonts w:asciiTheme="minorHAnsi" w:hAnsiTheme="minorHAnsi"/>
          <w:sz w:val="18"/>
          <w:szCs w:val="18"/>
        </w:rPr>
        <w:t>/</w:t>
      </w:r>
      <w:r w:rsidR="00883A78" w:rsidRPr="007C2A6B">
        <w:rPr>
          <w:rFonts w:asciiTheme="minorHAnsi" w:hAnsiTheme="minorHAnsi"/>
          <w:sz w:val="18"/>
          <w:szCs w:val="18"/>
        </w:rPr>
        <w:t>LPA</w:t>
      </w:r>
      <w:r w:rsidRPr="007C2A6B">
        <w:rPr>
          <w:rFonts w:asciiTheme="minorHAnsi" w:hAnsiTheme="minorHAnsi"/>
          <w:sz w:val="18"/>
          <w:szCs w:val="18"/>
        </w:rPr>
        <w:t>/</w:t>
      </w:r>
      <w:r w:rsidR="00632106" w:rsidRPr="007C2A6B">
        <w:rPr>
          <w:rFonts w:asciiTheme="minorHAnsi" w:hAnsiTheme="minorHAnsi"/>
          <w:sz w:val="18"/>
          <w:szCs w:val="18"/>
        </w:rPr>
        <w:t>l</w:t>
      </w:r>
      <w:r w:rsidRPr="007C2A6B">
        <w:rPr>
          <w:rFonts w:asciiTheme="minorHAnsi" w:hAnsiTheme="minorHAnsi"/>
          <w:sz w:val="18"/>
          <w:szCs w:val="18"/>
        </w:rPr>
        <w:t>pa</w:t>
      </w:r>
      <w:r w:rsidR="00562C46" w:rsidRPr="007C2A6B">
        <w:rPr>
          <w:rFonts w:asciiTheme="minorHAnsi" w:hAnsiTheme="minorHAnsi"/>
          <w:sz w:val="18"/>
          <w:szCs w:val="18"/>
        </w:rPr>
        <w:t>.</w:t>
      </w:r>
    </w:p>
    <w:p w:rsidR="007C2A6B" w:rsidRPr="007C2A6B" w:rsidRDefault="007C2A6B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Oficio Nº 731/2019</w:t>
      </w:r>
    </w:p>
    <w:sectPr w:rsidR="007C2A6B" w:rsidRPr="007C2A6B" w:rsidSect="00F47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014" w:rsidRDefault="00B84014" w:rsidP="00566808">
      <w:r>
        <w:separator/>
      </w:r>
    </w:p>
  </w:endnote>
  <w:endnote w:type="continuationSeparator" w:id="1">
    <w:p w:rsidR="00B84014" w:rsidRDefault="00B84014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5D" w:rsidRDefault="00082F5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691D77" w:rsidP="00566808">
    <w:pPr>
      <w:pStyle w:val="Piedepgina"/>
      <w:ind w:left="-142"/>
      <w:jc w:val="right"/>
      <w:rPr>
        <w:sz w:val="18"/>
        <w:szCs w:val="18"/>
      </w:rPr>
    </w:pPr>
    <w:r w:rsidRPr="00691D77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082F5D" w:rsidRDefault="00566808" w:rsidP="00082F5D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82F5D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82F5D">
      <w:rPr>
        <w:rFonts w:asciiTheme="minorHAnsi" w:hAnsiTheme="minorHAnsi"/>
        <w:sz w:val="18"/>
        <w:szCs w:val="18"/>
      </w:rPr>
      <w:t>cipalidad</w:t>
    </w:r>
    <w:r w:rsidRPr="00082F5D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5D" w:rsidRDefault="00082F5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014" w:rsidRDefault="00B84014" w:rsidP="00566808">
      <w:r>
        <w:separator/>
      </w:r>
    </w:p>
  </w:footnote>
  <w:footnote w:type="continuationSeparator" w:id="1">
    <w:p w:rsidR="00B84014" w:rsidRDefault="00B84014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5D" w:rsidRDefault="00082F5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AE4BC0">
    <w:pPr>
      <w:pStyle w:val="Encabezado"/>
      <w:rPr>
        <w:lang w:val="es-ES"/>
      </w:rPr>
    </w:pPr>
    <w:r w:rsidRPr="00AE4BC0">
      <w:rPr>
        <w:lang w:val="es-ES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5D" w:rsidRDefault="00082F5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A2622FB6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C19A3"/>
    <w:multiLevelType w:val="hybridMultilevel"/>
    <w:tmpl w:val="5FA4ABE2"/>
    <w:lvl w:ilvl="0" w:tplc="2B70D9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3EC312E8"/>
    <w:multiLevelType w:val="hybridMultilevel"/>
    <w:tmpl w:val="B2001E90"/>
    <w:lvl w:ilvl="0" w:tplc="97CC0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5B413D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>
    <w:nsid w:val="57D301E3"/>
    <w:multiLevelType w:val="hybridMultilevel"/>
    <w:tmpl w:val="0688066E"/>
    <w:lvl w:ilvl="0" w:tplc="E93A07A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318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52826"/>
    <w:rsid w:val="00013C43"/>
    <w:rsid w:val="00026CA3"/>
    <w:rsid w:val="0003207C"/>
    <w:rsid w:val="0004206D"/>
    <w:rsid w:val="00046622"/>
    <w:rsid w:val="000608C2"/>
    <w:rsid w:val="0006093A"/>
    <w:rsid w:val="00077AA8"/>
    <w:rsid w:val="00082F5D"/>
    <w:rsid w:val="00090D8E"/>
    <w:rsid w:val="00096AEF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4596"/>
    <w:rsid w:val="00177C0C"/>
    <w:rsid w:val="001837DC"/>
    <w:rsid w:val="001A2935"/>
    <w:rsid w:val="001D236E"/>
    <w:rsid w:val="001D31F0"/>
    <w:rsid w:val="001E6A9C"/>
    <w:rsid w:val="00203195"/>
    <w:rsid w:val="00244183"/>
    <w:rsid w:val="00245DED"/>
    <w:rsid w:val="00252F39"/>
    <w:rsid w:val="0027270C"/>
    <w:rsid w:val="00284147"/>
    <w:rsid w:val="00287CF3"/>
    <w:rsid w:val="00293674"/>
    <w:rsid w:val="002966AE"/>
    <w:rsid w:val="002A4F63"/>
    <w:rsid w:val="002C3330"/>
    <w:rsid w:val="002F1DA3"/>
    <w:rsid w:val="003021B2"/>
    <w:rsid w:val="00305551"/>
    <w:rsid w:val="003406B3"/>
    <w:rsid w:val="003440AE"/>
    <w:rsid w:val="00347E5D"/>
    <w:rsid w:val="00354036"/>
    <w:rsid w:val="00383FBE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A779D"/>
    <w:rsid w:val="004E7312"/>
    <w:rsid w:val="004F7659"/>
    <w:rsid w:val="004F799D"/>
    <w:rsid w:val="00511DDC"/>
    <w:rsid w:val="005128B1"/>
    <w:rsid w:val="00530EDE"/>
    <w:rsid w:val="00542421"/>
    <w:rsid w:val="00551A67"/>
    <w:rsid w:val="00551CE6"/>
    <w:rsid w:val="00562C46"/>
    <w:rsid w:val="00564289"/>
    <w:rsid w:val="00565A12"/>
    <w:rsid w:val="00566808"/>
    <w:rsid w:val="005A5BFC"/>
    <w:rsid w:val="005B02D3"/>
    <w:rsid w:val="005B7C5C"/>
    <w:rsid w:val="005E110A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1D77"/>
    <w:rsid w:val="006A7622"/>
    <w:rsid w:val="006C70F3"/>
    <w:rsid w:val="006E221C"/>
    <w:rsid w:val="006E41F2"/>
    <w:rsid w:val="006E6644"/>
    <w:rsid w:val="00713F09"/>
    <w:rsid w:val="0072066D"/>
    <w:rsid w:val="00724133"/>
    <w:rsid w:val="007267C4"/>
    <w:rsid w:val="00734E76"/>
    <w:rsid w:val="007400C7"/>
    <w:rsid w:val="007571F5"/>
    <w:rsid w:val="007854BD"/>
    <w:rsid w:val="00786E91"/>
    <w:rsid w:val="007B683A"/>
    <w:rsid w:val="007C1F4C"/>
    <w:rsid w:val="007C2A6B"/>
    <w:rsid w:val="007C45B0"/>
    <w:rsid w:val="007D0FC1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83A78"/>
    <w:rsid w:val="008A413B"/>
    <w:rsid w:val="008A5905"/>
    <w:rsid w:val="008C79D6"/>
    <w:rsid w:val="008D0EDA"/>
    <w:rsid w:val="008D6F7F"/>
    <w:rsid w:val="008E0979"/>
    <w:rsid w:val="008F000B"/>
    <w:rsid w:val="00914073"/>
    <w:rsid w:val="00925A86"/>
    <w:rsid w:val="009273B3"/>
    <w:rsid w:val="009308F2"/>
    <w:rsid w:val="00930D39"/>
    <w:rsid w:val="00936C45"/>
    <w:rsid w:val="00957580"/>
    <w:rsid w:val="00971C17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D77BA"/>
    <w:rsid w:val="00AD7D82"/>
    <w:rsid w:val="00AE4BC0"/>
    <w:rsid w:val="00AF2CF0"/>
    <w:rsid w:val="00B2534E"/>
    <w:rsid w:val="00B25D3F"/>
    <w:rsid w:val="00B31423"/>
    <w:rsid w:val="00B37013"/>
    <w:rsid w:val="00B37BAB"/>
    <w:rsid w:val="00B51D37"/>
    <w:rsid w:val="00B524D4"/>
    <w:rsid w:val="00B6186B"/>
    <w:rsid w:val="00B63D54"/>
    <w:rsid w:val="00B8401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635A4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65C39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71F48"/>
    <w:rsid w:val="00E832C7"/>
    <w:rsid w:val="00E93D09"/>
    <w:rsid w:val="00EB1F5C"/>
    <w:rsid w:val="00EB7D70"/>
    <w:rsid w:val="00EC2B1F"/>
    <w:rsid w:val="00EC7307"/>
    <w:rsid w:val="00EE0C0B"/>
    <w:rsid w:val="00EE42DC"/>
    <w:rsid w:val="00F3734C"/>
    <w:rsid w:val="00F477D8"/>
    <w:rsid w:val="00F76437"/>
    <w:rsid w:val="00F816F9"/>
    <w:rsid w:val="00FB64D9"/>
    <w:rsid w:val="00FC538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next w:val="Sinespaciado"/>
    <w:link w:val="TextonotapieCar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779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779D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A779D"/>
    <w:rPr>
      <w:vertAlign w:val="superscript"/>
    </w:rPr>
  </w:style>
  <w:style w:type="paragraph" w:styleId="Sinespaciado">
    <w:name w:val="No Spacing"/>
    <w:uiPriority w:val="1"/>
    <w:qFormat/>
    <w:rsid w:val="004A779D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7</cp:revision>
  <cp:lastPrinted>2019-08-28T13:25:00Z</cp:lastPrinted>
  <dcterms:created xsi:type="dcterms:W3CDTF">2018-11-08T12:29:00Z</dcterms:created>
  <dcterms:modified xsi:type="dcterms:W3CDTF">2019-10-16T13:51:00Z</dcterms:modified>
</cp:coreProperties>
</file>